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057930" w:rsidP="00CB4313">
            <w:pPr>
              <w:rPr>
                <w:rFonts w:ascii="Century Gothic" w:hAnsi="Century Gothic"/>
                <w:bCs/>
              </w:rPr>
            </w:pPr>
            <w:r>
              <w:rPr>
                <w:rFonts w:ascii="Century Gothic" w:hAnsi="Century Gothic"/>
                <w:bCs/>
              </w:rPr>
              <w:t>2/27/17</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A90C61">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-Intro to regions of NC</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EE6FC4" w:rsidRPr="003F11E9" w:rsidRDefault="003F11E9" w:rsidP="003F11E9">
            <w:pPr>
              <w:rPr>
                <w:rFonts w:ascii="Century Gothic" w:hAnsi="Century Gothic"/>
                <w:bCs/>
                <w:sz w:val="22"/>
                <w:szCs w:val="22"/>
              </w:rPr>
            </w:pPr>
            <w:r w:rsidRPr="003F11E9">
              <w:rPr>
                <w:rFonts w:ascii="Century Gothic" w:hAnsi="Century Gothic"/>
                <w:bCs/>
                <w:sz w:val="22"/>
                <w:szCs w:val="22"/>
              </w:rPr>
              <w:t>Does NC have regions?</w:t>
            </w:r>
          </w:p>
          <w:p w:rsidR="003F11E9" w:rsidRPr="003F11E9" w:rsidRDefault="003F11E9" w:rsidP="003F11E9">
            <w:pPr>
              <w:rPr>
                <w:rFonts w:ascii="Century Gothic" w:hAnsi="Century Gothic"/>
                <w:bCs/>
                <w:sz w:val="22"/>
                <w:szCs w:val="22"/>
              </w:rPr>
            </w:pPr>
            <w:r w:rsidRPr="003F11E9">
              <w:rPr>
                <w:rFonts w:ascii="Century Gothic" w:hAnsi="Century Gothic"/>
                <w:bCs/>
                <w:sz w:val="22"/>
                <w:szCs w:val="22"/>
              </w:rPr>
              <w:t>What are the regions of NC?</w:t>
            </w:r>
            <w:bookmarkStart w:id="0" w:name="_GoBack"/>
            <w:bookmarkEnd w:id="0"/>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F87BEF" w:rsidRPr="00EB6D89" w:rsidRDefault="003F11E9" w:rsidP="00EE6FC4">
            <w:pPr>
              <w:rPr>
                <w:rFonts w:ascii="Century Gothic" w:hAnsi="Century Gothic"/>
                <w:bCs/>
                <w:sz w:val="22"/>
                <w:szCs w:val="22"/>
              </w:rPr>
            </w:pPr>
            <w:r>
              <w:rPr>
                <w:rFonts w:ascii="Century Gothic" w:hAnsi="Century Gothic"/>
                <w:bCs/>
                <w:sz w:val="22"/>
                <w:szCs w:val="22"/>
              </w:rPr>
              <w:t>NC Regions:  Piedmont, Mountains and Coast</w:t>
            </w:r>
            <w:r w:rsidR="0091599E">
              <w:rPr>
                <w:rFonts w:ascii="Century Gothic" w:hAnsi="Century Gothic"/>
                <w:bCs/>
                <w:sz w:val="22"/>
                <w:szCs w:val="22"/>
              </w:rPr>
              <w:t xml:space="preserve">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3F11E9">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are </w:t>
            </w:r>
            <w:r>
              <w:rPr>
                <w:rFonts w:ascii="Century Gothic" w:hAnsi="Century Gothic"/>
                <w:bCs/>
                <w:sz w:val="22"/>
                <w:szCs w:val="22"/>
              </w:rPr>
              <w:t xml:space="preserve">going to be learning </w:t>
            </w:r>
            <w:r w:rsidR="005B6A94">
              <w:rPr>
                <w:rFonts w:ascii="Century Gothic" w:hAnsi="Century Gothic"/>
                <w:bCs/>
                <w:sz w:val="22"/>
                <w:szCs w:val="22"/>
              </w:rPr>
              <w:t xml:space="preserve">about </w:t>
            </w:r>
            <w:r w:rsidR="00A90C61">
              <w:rPr>
                <w:rFonts w:ascii="Century Gothic" w:hAnsi="Century Gothic"/>
                <w:bCs/>
                <w:sz w:val="22"/>
                <w:szCs w:val="22"/>
              </w:rPr>
              <w:t>geography</w:t>
            </w:r>
            <w:r>
              <w:rPr>
                <w:rFonts w:ascii="Century Gothic" w:hAnsi="Century Gothic"/>
                <w:bCs/>
                <w:sz w:val="22"/>
                <w:szCs w:val="22"/>
              </w:rPr>
              <w:t xml:space="preserve"> with a focus on the regions of NC.</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ill illustrate the state of NC using a map of NC and show where the regions are 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w:t>
            </w:r>
            <w:r w:rsidR="003F11E9">
              <w:rPr>
                <w:rFonts w:ascii="Century Gothic" w:hAnsi="Century Gothic" w:cs="Arial"/>
                <w:sz w:val="22"/>
                <w:szCs w:val="22"/>
              </w:rPr>
              <w:t>introduce the regions through a book that is on the smart board presentation. The book illustrates some features of each region</w:t>
            </w:r>
            <w:r w:rsidR="004033F0">
              <w:rPr>
                <w:rFonts w:ascii="Century Gothic" w:hAnsi="Century Gothic" w:cs="Arial"/>
                <w:sz w:val="22"/>
                <w:szCs w:val="22"/>
              </w:rPr>
              <w:t xml:space="preserve"> that students can relate to.</w:t>
            </w:r>
            <w:r w:rsidRPr="00FA7417">
              <w:rPr>
                <w:rFonts w:ascii="Century Gothic" w:hAnsi="Century Gothic" w:cs="Arial"/>
                <w:sz w:val="22"/>
                <w:szCs w:val="22"/>
              </w:rPr>
              <w:t xml:space="preserv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lastRenderedPageBreak/>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 xml:space="preserve">Student </w:t>
            </w:r>
            <w:r w:rsidRPr="003B0DC0">
              <w:rPr>
                <w:rFonts w:ascii="Century Gothic" w:hAnsi="Century Gothic"/>
                <w:b/>
                <w:bCs/>
                <w:sz w:val="18"/>
                <w:szCs w:val="18"/>
              </w:rPr>
              <w:lastRenderedPageBreak/>
              <w:t>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lastRenderedPageBreak/>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 xml:space="preserve">Higher Level </w:t>
            </w:r>
            <w:r>
              <w:rPr>
                <w:rFonts w:ascii="Century Gothic" w:hAnsi="Century Gothic"/>
                <w:b/>
                <w:bCs/>
                <w:sz w:val="18"/>
                <w:szCs w:val="18"/>
              </w:rPr>
              <w:lastRenderedPageBreak/>
              <w:t>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 xml:space="preserve">Lesson </w:t>
            </w:r>
            <w:r w:rsidRPr="003B0DC0">
              <w:rPr>
                <w:rFonts w:ascii="Century Gothic" w:hAnsi="Century Gothic"/>
                <w:b/>
                <w:bCs/>
                <w:sz w:val="18"/>
                <w:szCs w:val="18"/>
              </w:rPr>
              <w:lastRenderedPageBreak/>
              <w:t>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4033F0" w:rsidRPr="004033F0" w:rsidRDefault="004033F0" w:rsidP="004033F0">
            <w:pPr>
              <w:autoSpaceDE w:val="0"/>
              <w:autoSpaceDN w:val="0"/>
              <w:adjustRightInd w:val="0"/>
              <w:spacing w:after="20"/>
              <w:rPr>
                <w:rFonts w:ascii="Arial" w:hAnsi="Arial" w:cs="Arial"/>
                <w:b/>
                <w:u w:val="single"/>
              </w:rPr>
            </w:pPr>
            <w:r w:rsidRPr="004033F0">
              <w:rPr>
                <w:rFonts w:ascii="Arial" w:hAnsi="Arial" w:cs="Arial"/>
                <w:b/>
                <w:u w:val="single"/>
              </w:rPr>
              <w:t>Activities for this lesson:</w:t>
            </w:r>
          </w:p>
          <w:p w:rsidR="004033F0" w:rsidRPr="004033F0" w:rsidRDefault="004033F0" w:rsidP="004033F0">
            <w:pPr>
              <w:autoSpaceDE w:val="0"/>
              <w:autoSpaceDN w:val="0"/>
              <w:adjustRightInd w:val="0"/>
              <w:jc w:val="center"/>
              <w:rPr>
                <w:rFonts w:ascii="Segoe UI" w:hAnsi="Segoe UI" w:cs="Segoe UI"/>
              </w:rPr>
            </w:pPr>
          </w:p>
          <w:p w:rsidR="004033F0" w:rsidRPr="004033F0" w:rsidRDefault="004033F0" w:rsidP="004033F0">
            <w:pPr>
              <w:autoSpaceDE w:val="0"/>
              <w:autoSpaceDN w:val="0"/>
              <w:adjustRightInd w:val="0"/>
              <w:spacing w:after="20"/>
              <w:jc w:val="center"/>
              <w:rPr>
                <w:rFonts w:ascii="Arial" w:hAnsi="Arial" w:cs="Arial"/>
              </w:rPr>
            </w:pPr>
            <w:r w:rsidRPr="004033F0">
              <w:rPr>
                <w:rFonts w:ascii="Arial" w:hAnsi="Arial" w:cs="Arial"/>
              </w:rPr>
              <w:t xml:space="preserve">- Using a map locate each region of NC (tactile map, </w:t>
            </w:r>
            <w:proofErr w:type="spellStart"/>
            <w:r w:rsidRPr="004033F0">
              <w:rPr>
                <w:rFonts w:ascii="Arial" w:hAnsi="Arial" w:cs="Arial"/>
              </w:rPr>
              <w:t>ipad</w:t>
            </w:r>
            <w:proofErr w:type="spellEnd"/>
            <w:r w:rsidRPr="004033F0">
              <w:rPr>
                <w:rFonts w:ascii="Arial" w:hAnsi="Arial" w:cs="Arial"/>
              </w:rPr>
              <w:t>, etc</w:t>
            </w:r>
            <w:proofErr w:type="gramStart"/>
            <w:r w:rsidRPr="004033F0">
              <w:rPr>
                <w:rFonts w:ascii="Arial" w:hAnsi="Arial" w:cs="Arial"/>
              </w:rPr>
              <w:t>..)</w:t>
            </w:r>
            <w:proofErr w:type="gramEnd"/>
          </w:p>
          <w:p w:rsidR="004033F0" w:rsidRPr="004033F0" w:rsidRDefault="004033F0" w:rsidP="004033F0">
            <w:pPr>
              <w:autoSpaceDE w:val="0"/>
              <w:autoSpaceDN w:val="0"/>
              <w:adjustRightInd w:val="0"/>
              <w:jc w:val="center"/>
              <w:rPr>
                <w:rFonts w:ascii="Segoe UI" w:hAnsi="Segoe UI" w:cs="Segoe UI"/>
              </w:rPr>
            </w:pPr>
          </w:p>
          <w:p w:rsidR="004033F0" w:rsidRPr="004033F0" w:rsidRDefault="004033F0" w:rsidP="004033F0">
            <w:pPr>
              <w:autoSpaceDE w:val="0"/>
              <w:autoSpaceDN w:val="0"/>
              <w:adjustRightInd w:val="0"/>
              <w:spacing w:after="20"/>
              <w:jc w:val="center"/>
              <w:rPr>
                <w:rFonts w:ascii="Arial" w:hAnsi="Arial" w:cs="Arial"/>
              </w:rPr>
            </w:pPr>
            <w:r w:rsidRPr="004033F0">
              <w:rPr>
                <w:rFonts w:ascii="Arial" w:hAnsi="Arial" w:cs="Arial"/>
              </w:rPr>
              <w:t>- Create a map and label the three regions of NC (later in the unit we will do an activity with each region)</w:t>
            </w:r>
          </w:p>
          <w:p w:rsidR="004033F0" w:rsidRPr="004033F0" w:rsidRDefault="004033F0" w:rsidP="004033F0">
            <w:pPr>
              <w:autoSpaceDE w:val="0"/>
              <w:autoSpaceDN w:val="0"/>
              <w:adjustRightInd w:val="0"/>
              <w:jc w:val="center"/>
              <w:rPr>
                <w:rFonts w:ascii="Segoe UI" w:hAnsi="Segoe UI" w:cs="Segoe UI"/>
              </w:rPr>
            </w:pPr>
          </w:p>
          <w:p w:rsidR="004033F0" w:rsidRPr="004033F0" w:rsidRDefault="004033F0" w:rsidP="004033F0">
            <w:pPr>
              <w:autoSpaceDE w:val="0"/>
              <w:autoSpaceDN w:val="0"/>
              <w:adjustRightInd w:val="0"/>
              <w:spacing w:after="20"/>
              <w:jc w:val="center"/>
              <w:rPr>
                <w:rFonts w:ascii="Arial" w:hAnsi="Arial" w:cs="Arial"/>
              </w:rPr>
            </w:pPr>
            <w:r w:rsidRPr="004033F0">
              <w:rPr>
                <w:rFonts w:ascii="Arial" w:hAnsi="Arial" w:cs="Arial"/>
              </w:rPr>
              <w:t>- Class vote on which region the students would want to live in and then graph the results</w:t>
            </w: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57930"/>
    <w:rsid w:val="00063D4F"/>
    <w:rsid w:val="00064CB9"/>
    <w:rsid w:val="0006780A"/>
    <w:rsid w:val="000751E4"/>
    <w:rsid w:val="000A6A34"/>
    <w:rsid w:val="000B20E4"/>
    <w:rsid w:val="000C30C4"/>
    <w:rsid w:val="000D588B"/>
    <w:rsid w:val="000E0AD9"/>
    <w:rsid w:val="00110FF1"/>
    <w:rsid w:val="0011703D"/>
    <w:rsid w:val="001338FC"/>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80817"/>
    <w:rsid w:val="004823F3"/>
    <w:rsid w:val="004A0859"/>
    <w:rsid w:val="004E7184"/>
    <w:rsid w:val="004F6B51"/>
    <w:rsid w:val="0056086D"/>
    <w:rsid w:val="005A1A07"/>
    <w:rsid w:val="005B56B4"/>
    <w:rsid w:val="005B6A94"/>
    <w:rsid w:val="006019A9"/>
    <w:rsid w:val="00612E80"/>
    <w:rsid w:val="006352B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F3A59"/>
    <w:rsid w:val="007018F8"/>
    <w:rsid w:val="00713E64"/>
    <w:rsid w:val="007226F6"/>
    <w:rsid w:val="00726878"/>
    <w:rsid w:val="007365C0"/>
    <w:rsid w:val="007409BC"/>
    <w:rsid w:val="00791CA3"/>
    <w:rsid w:val="007A68CF"/>
    <w:rsid w:val="007C7A4B"/>
    <w:rsid w:val="007E0050"/>
    <w:rsid w:val="007F0D4F"/>
    <w:rsid w:val="008244E4"/>
    <w:rsid w:val="00835217"/>
    <w:rsid w:val="008417C4"/>
    <w:rsid w:val="00845C10"/>
    <w:rsid w:val="00855BC8"/>
    <w:rsid w:val="008A49B7"/>
    <w:rsid w:val="008D1E94"/>
    <w:rsid w:val="008E2AE3"/>
    <w:rsid w:val="008F52F5"/>
    <w:rsid w:val="008F7A9C"/>
    <w:rsid w:val="0091599E"/>
    <w:rsid w:val="0093017A"/>
    <w:rsid w:val="00942475"/>
    <w:rsid w:val="009821CA"/>
    <w:rsid w:val="009A5751"/>
    <w:rsid w:val="009B1E60"/>
    <w:rsid w:val="009B5142"/>
    <w:rsid w:val="009D098B"/>
    <w:rsid w:val="00A1489F"/>
    <w:rsid w:val="00A446D8"/>
    <w:rsid w:val="00A5640E"/>
    <w:rsid w:val="00A6539B"/>
    <w:rsid w:val="00A67C46"/>
    <w:rsid w:val="00A76019"/>
    <w:rsid w:val="00A82CBD"/>
    <w:rsid w:val="00A90C61"/>
    <w:rsid w:val="00AA1F97"/>
    <w:rsid w:val="00AF7FFA"/>
    <w:rsid w:val="00B911C0"/>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3033F-35B7-48F9-AC6C-9024C22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5992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4</cp:revision>
  <cp:lastPrinted>2015-03-18T21:48:00Z</cp:lastPrinted>
  <dcterms:created xsi:type="dcterms:W3CDTF">2015-07-02T18:16:00Z</dcterms:created>
  <dcterms:modified xsi:type="dcterms:W3CDTF">2016-08-24T14:50:00Z</dcterms:modified>
</cp:coreProperties>
</file>